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2330" w:rsidRDefault="002C70A7">
      <w:pPr>
        <w:jc w:val="center"/>
      </w:pPr>
      <w:r>
        <w:rPr>
          <w:noProof/>
        </w:rPr>
        <w:drawing>
          <wp:inline distT="0" distB="0" distL="0" distR="0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9212"/>
      </w:tblGrid>
      <w:tr w:rsidR="00CC233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CC2330" w:rsidRDefault="00CC2330">
            <w:pPr>
              <w:jc w:val="center"/>
            </w:pPr>
          </w:p>
          <w:p w:rsidR="00CC2330" w:rsidRDefault="00CC2330">
            <w:pPr>
              <w:jc w:val="center"/>
            </w:pPr>
          </w:p>
          <w:p w:rsidR="00CC2330" w:rsidRDefault="00CC2330">
            <w:pPr>
              <w:jc w:val="center"/>
            </w:pPr>
          </w:p>
          <w:p w:rsidR="00CC2330" w:rsidRDefault="00CC2330">
            <w:pPr>
              <w:jc w:val="center"/>
            </w:pPr>
          </w:p>
          <w:p w:rsidR="004A5233" w:rsidRPr="004A5233" w:rsidRDefault="004A5233" w:rsidP="004A5233">
            <w:pPr>
              <w:pStyle w:val="Nadpis1"/>
              <w:rPr>
                <w:rFonts w:ascii="Tahoma" w:hAnsi="Tahoma" w:cs="Tahom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36"/>
                <w:szCs w:val="36"/>
              </w:rPr>
              <w:t>IV.ročník</w:t>
            </w:r>
            <w:proofErr w:type="spellEnd"/>
            <w:r>
              <w:rPr>
                <w:rFonts w:ascii="Tahoma" w:hAnsi="Tahoma" w:cs="Tahoma"/>
                <w:color w:val="000000"/>
                <w:sz w:val="36"/>
                <w:szCs w:val="36"/>
              </w:rPr>
              <w:t xml:space="preserve"> t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>urnajov</w:t>
            </w:r>
            <w:r>
              <w:rPr>
                <w:rFonts w:ascii="Tahoma" w:hAnsi="Tahoma" w:cs="Tahoma"/>
                <w:color w:val="000000"/>
                <w:sz w:val="36"/>
                <w:szCs w:val="36"/>
              </w:rPr>
              <w:t>ého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okruh</w:t>
            </w:r>
            <w:r>
              <w:rPr>
                <w:rFonts w:ascii="Tahoma" w:hAnsi="Tahoma" w:cs="Tahoma"/>
                <w:color w:val="000000"/>
                <w:sz w:val="36"/>
                <w:szCs w:val="36"/>
              </w:rPr>
              <w:t>u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>JmTS</w:t>
            </w:r>
            <w:proofErr w:type="spellEnd"/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>babytenisu</w:t>
            </w:r>
            <w:proofErr w:type="spellEnd"/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„O pohár hejtmana JMK 201</w:t>
            </w:r>
            <w:r>
              <w:rPr>
                <w:rFonts w:ascii="Tahoma" w:hAnsi="Tahoma" w:cs="Tahoma"/>
                <w:color w:val="000000"/>
                <w:sz w:val="36"/>
                <w:szCs w:val="36"/>
              </w:rPr>
              <w:t>9“</w:t>
            </w:r>
          </w:p>
          <w:p w:rsidR="00CC2330" w:rsidRDefault="00CC2330" w:rsidP="004A5233"/>
          <w:p w:rsidR="004A5233" w:rsidRDefault="004A5233" w:rsidP="004A5233"/>
          <w:p w:rsidR="00CC2330" w:rsidRDefault="00CC2330">
            <w:pPr>
              <w:jc w:val="center"/>
            </w:pPr>
          </w:p>
          <w:p w:rsidR="00CC2330" w:rsidRDefault="00CC2330">
            <w:pPr>
              <w:jc w:val="center"/>
            </w:pPr>
          </w:p>
        </w:tc>
      </w:tr>
    </w:tbl>
    <w:p w:rsidR="00CC2330" w:rsidRDefault="00CC2330">
      <w:pPr>
        <w:jc w:val="center"/>
      </w:pPr>
    </w:p>
    <w:p w:rsidR="00CC2330" w:rsidRDefault="00CC2330"/>
    <w:p w:rsidR="00CC2330" w:rsidRDefault="00CC2330"/>
    <w:p w:rsidR="00CC2330" w:rsidRDefault="004A5233"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5165824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59690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330" w:rsidRDefault="00CC2330"/>
    <w:p w:rsidR="00CC2330" w:rsidRDefault="004A5233"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7620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330" w:rsidRDefault="00CC2330"/>
    <w:p w:rsidR="00CC2330" w:rsidRDefault="00CC2330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:rsidR="00CC2330" w:rsidRDefault="00CC2330">
      <w:pPr>
        <w:pStyle w:val="NormalnormalT"/>
        <w:jc w:val="center"/>
      </w:pPr>
    </w:p>
    <w:p w:rsidR="00CC2330" w:rsidRDefault="00CC2330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:rsidR="00CC2330" w:rsidRDefault="00CC2330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:rsidR="00CC2330" w:rsidRDefault="00CC2330">
      <w:pPr>
        <w:pStyle w:val="NormalnormalT"/>
        <w:jc w:val="center"/>
        <w:rPr>
          <w:rFonts w:ascii="Tahoma" w:hAnsi="Tahoma" w:cs="Tahoma"/>
          <w:bCs/>
          <w:sz w:val="20"/>
        </w:rPr>
      </w:pPr>
    </w:p>
    <w:p w:rsidR="00CC2330" w:rsidRDefault="00CC2330">
      <w:pPr>
        <w:jc w:val="center"/>
        <w:rPr>
          <w:rFonts w:ascii="Tahoma" w:hAnsi="Tahoma" w:cs="Tahoma"/>
          <w:bCs/>
          <w:lang w:eastAsia="cs-CZ"/>
        </w:rPr>
      </w:pPr>
    </w:p>
    <w:p w:rsidR="004A5233" w:rsidRDefault="004A5233" w:rsidP="004A5233">
      <w:pPr>
        <w:jc w:val="center"/>
        <w:rPr>
          <w:rFonts w:ascii="Tahoma" w:eastAsia="Tahoma" w:hAnsi="Tahoma" w:cs="Tahoma"/>
        </w:rPr>
      </w:pPr>
      <w:r>
        <w:rPr>
          <w:noProof/>
        </w:rPr>
        <w:drawing>
          <wp:inline distT="0" distB="0" distL="0" distR="0" wp14:anchorId="08A21632" wp14:editId="4D3A4153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0A7" w:rsidRPr="004A5233">
        <w:rPr>
          <w:rFonts w:ascii="Tahoma" w:eastAsia="Tahoma" w:hAnsi="Tahoma" w:cs="Tahoma"/>
        </w:rPr>
        <w:t xml:space="preserve"> </w:t>
      </w:r>
    </w:p>
    <w:p w:rsidR="00CC2330" w:rsidRPr="004A5233" w:rsidRDefault="002C70A7" w:rsidP="004A5233">
      <w:pPr>
        <w:rPr>
          <w:rFonts w:ascii="Tahoma" w:hAnsi="Tahoma" w:cs="Tahoma"/>
          <w:sz w:val="18"/>
          <w:szCs w:val="18"/>
          <w:lang w:eastAsia="cs-CZ"/>
        </w:rPr>
      </w:pPr>
      <w:r w:rsidRPr="004A5233">
        <w:rPr>
          <w:rFonts w:ascii="Tahoma" w:hAnsi="Tahoma" w:cs="Tahoma"/>
          <w:b/>
          <w:color w:val="365F91"/>
          <w:sz w:val="18"/>
          <w:szCs w:val="18"/>
        </w:rPr>
        <w:lastRenderedPageBreak/>
        <w:t>VŠEOBECNÁ USTANOVENÍ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POŘADATELÉ:</w:t>
            </w:r>
          </w:p>
        </w:tc>
        <w:tc>
          <w:tcPr>
            <w:tcW w:w="7228" w:type="dxa"/>
            <w:shd w:val="clear" w:color="auto" w:fill="auto"/>
          </w:tcPr>
          <w:p w:rsidR="004A5233" w:rsidRPr="004A5233" w:rsidRDefault="004A5233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sz w:val="18"/>
                <w:szCs w:val="18"/>
              </w:rPr>
              <w:t>29.-30.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6.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SKT Tišnov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6.-7.7. 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TK Znojmo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.-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>14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.7.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ŽLTC Brno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4A5233" w:rsidRPr="004A5233" w:rsidRDefault="004A5233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sz w:val="18"/>
                <w:szCs w:val="18"/>
              </w:rPr>
              <w:t>20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.7.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TC–MJ Tenis Líšeň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27.7. TK Zlín 3.-4.8. 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Tenis Slovácko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4A5233" w:rsidRPr="004A5233" w:rsidRDefault="00BC1B9C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10.-11.8. HTK Třebíč 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4A5233" w:rsidRPr="004A523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.–2</w:t>
            </w:r>
            <w:r w:rsidR="004A5233" w:rsidRPr="004A5233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.8.</w:t>
            </w:r>
            <w:r w:rsidR="004A5233"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TK Agrofert Prostějov </w:t>
            </w:r>
          </w:p>
          <w:p w:rsidR="00CC2330" w:rsidRPr="00BD33DB" w:rsidRDefault="002C70A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BD33DB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4A5233" w:rsidRPr="00BD33DB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BD33DB">
              <w:rPr>
                <w:rFonts w:ascii="Tahoma" w:hAnsi="Tahoma" w:cs="Tahoma"/>
                <w:bCs/>
                <w:sz w:val="18"/>
                <w:szCs w:val="18"/>
              </w:rPr>
              <w:t>.9.</w:t>
            </w:r>
            <w:r w:rsidR="004A5233" w:rsidRPr="00BD33D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BD33DB">
              <w:rPr>
                <w:rFonts w:ascii="Tahoma" w:hAnsi="Tahoma" w:cs="Tahoma"/>
                <w:bCs/>
                <w:sz w:val="18"/>
                <w:szCs w:val="18"/>
              </w:rPr>
              <w:t xml:space="preserve">MASTERS TC Brno  </w:t>
            </w:r>
            <w:bookmarkStart w:id="2" w:name="_GoBack"/>
            <w:bookmarkEnd w:id="2"/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VEDENÍ OKRUHU: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Ředitel okruhu: Michal Juda </w:t>
            </w:r>
            <w:proofErr w:type="spellStart"/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Org</w:t>
            </w:r>
            <w:proofErr w:type="spellEnd"/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. pracovník: Jiří Hanák Vrchní rozhodčí jednotlivých turnajů určují pořadatelé po dohodě s </w:t>
            </w:r>
            <w:proofErr w:type="spellStart"/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JmTS</w:t>
            </w:r>
            <w:proofErr w:type="spellEnd"/>
          </w:p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Informace</w:t>
            </w:r>
            <w:r w:rsidR="004A5233"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: </w:t>
            </w:r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Mgr. Jan Macharáček 602 404 680 Michal Juda 603 421 212 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sz w:val="18"/>
                <w:szCs w:val="18"/>
              </w:rPr>
              <w:t>Přihlášky se zasílají výhradně elektronicky prostřednictvím Informačního systému ČTS.  Informace o přijetí, nepřijetí či zařazení mezi náhradníky, se hráčům neposílá. Každý je povinen si potřebné údaje zjistit sám prostřednictvím internetové stránky ČTS www.cztenis.cz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Každou neúčast musí přihlášený hráč odhlásit pomocí informačního systému. Nesplnění může znamenat zavedení disciplinárního řízení proti provinilému hráči.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200,- Kč za každého hráče</w:t>
            </w:r>
            <w:r w:rsidR="004A5233" w:rsidRPr="004A5233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A5233">
              <w:rPr>
                <w:rFonts w:ascii="Tahoma" w:hAnsi="Tahoma" w:cs="Tahoma"/>
                <w:sz w:val="18"/>
                <w:szCs w:val="18"/>
              </w:rPr>
              <w:t xml:space="preserve">Účastníci </w:t>
            </w:r>
            <w:proofErr w:type="spellStart"/>
            <w:r w:rsidRPr="004A5233">
              <w:rPr>
                <w:rFonts w:ascii="Tahoma" w:hAnsi="Tahoma" w:cs="Tahoma"/>
                <w:sz w:val="18"/>
                <w:szCs w:val="18"/>
              </w:rPr>
              <w:t>Masters</w:t>
            </w:r>
            <w:proofErr w:type="spellEnd"/>
            <w:r w:rsidRPr="004A5233">
              <w:rPr>
                <w:rFonts w:ascii="Tahoma" w:hAnsi="Tahoma" w:cs="Tahoma"/>
                <w:sz w:val="18"/>
                <w:szCs w:val="18"/>
              </w:rPr>
              <w:t xml:space="preserve"> vklady neplatí.  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HOSPODÁŘSKÉ</w:t>
            </w:r>
          </w:p>
          <w:p w:rsidR="00CC2330" w:rsidRPr="004A5233" w:rsidRDefault="002C70A7">
            <w:pPr>
              <w:pStyle w:val="NormalnormalT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Nocležné,</w:t>
            </w:r>
            <w:r w:rsidR="004A5233"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5233">
              <w:rPr>
                <w:rFonts w:ascii="Tahoma" w:hAnsi="Tahoma" w:cs="Tahoma"/>
                <w:sz w:val="18"/>
                <w:szCs w:val="18"/>
              </w:rPr>
              <w:t>cestovné i stravné si hradí samotní hráči, případně jejich mateřské kluby.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21"/>
      </w:tblGrid>
      <w:tr w:rsidR="00CC2330" w:rsidRPr="004A5233">
        <w:tc>
          <w:tcPr>
            <w:tcW w:w="2196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TITUL A CENY:</w:t>
            </w:r>
          </w:p>
        </w:tc>
        <w:tc>
          <w:tcPr>
            <w:tcW w:w="7220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Na každém turnaji obdrží nejlepších 5 účastníků pohár, všichni ostatní účastníci obdrží medaili a diplom  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Všichni hráči jsou povinni být od okamžiku svého příjezdu k dispozici a jsou povinni každý odchod z areálu uskutečnit jen se souhlasem vrchního rozhodčího </w:t>
            </w:r>
          </w:p>
        </w:tc>
      </w:tr>
    </w:tbl>
    <w:p w:rsidR="00CC2330" w:rsidRPr="004A5233" w:rsidRDefault="002C70A7">
      <w:pPr>
        <w:pStyle w:val="NormalnormalT"/>
        <w:jc w:val="left"/>
        <w:rPr>
          <w:rFonts w:ascii="Tahoma" w:hAnsi="Tahoma" w:cs="Tahoma"/>
          <w:sz w:val="18"/>
          <w:szCs w:val="18"/>
        </w:rPr>
      </w:pPr>
      <w:r w:rsidRPr="004A5233">
        <w:rPr>
          <w:rFonts w:ascii="Tahoma" w:hAnsi="Tahoma" w:cs="Tahoma"/>
          <w:b/>
          <w:color w:val="365F91"/>
          <w:sz w:val="18"/>
          <w:szCs w:val="18"/>
        </w:rPr>
        <w:t>TECHNICKÁ USTANOVENÍ</w:t>
      </w:r>
    </w:p>
    <w:p w:rsidR="00CC2330" w:rsidRPr="004A5233" w:rsidRDefault="00CC2330">
      <w:pPr>
        <w:pStyle w:val="NormalnormalT"/>
        <w:rPr>
          <w:rFonts w:ascii="Tahoma" w:hAnsi="Tahoma" w:cs="Tahoma"/>
          <w:bCs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Hraje se podle soutěžního řádu tenisu platného od 1. 10. 2007 a podle platných pravidel tenisu včetně pozdějších změn a doplňků.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Dvouhra chlapců Dvouhra dívek        Chlapci a dívky hrají své soutěže odděleně 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Rozřazovací část se hraje ve skupinách systémem každý s každým. 2 nejlepší z každé skupiny postupují do vyřazovací části o celkové vítězství a další pořadí.  Nepostupující účastníci ze skupin pokračují ve vyřazovací části o celkové pořadí. Všechna utkání se hrají do 4 her, za stavu 3:3 rozhodující hra.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Wilson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Ve všech zápasech se bude hrát bez hlavního rozhodčího podle prováděcího předpisu k čl. 32 SŘT.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Do závěrečného MASTERS postupuje nejlepších 10 chlapců a 10 dívek. Celkové pořadí hráčů a hráček bude dáno součtem bodů z pěti nejlépe bodovaných turnajů okruhu. </w:t>
            </w:r>
            <w:r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Podle ustanovení čl. </w:t>
            </w:r>
            <w:proofErr w:type="gramStart"/>
            <w:r w:rsidRPr="004A5233">
              <w:rPr>
                <w:rFonts w:ascii="Tahoma" w:hAnsi="Tahoma" w:cs="Tahoma"/>
                <w:sz w:val="18"/>
                <w:szCs w:val="18"/>
              </w:rPr>
              <w:t>138 - 139</w:t>
            </w:r>
            <w:proofErr w:type="gramEnd"/>
            <w:r w:rsidRPr="004A5233">
              <w:rPr>
                <w:rFonts w:ascii="Tahoma" w:hAnsi="Tahoma" w:cs="Tahoma"/>
                <w:sz w:val="18"/>
                <w:szCs w:val="18"/>
              </w:rPr>
              <w:t xml:space="preserve"> a 147 - 156 soutěžního řádu.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>
        <w:trPr>
          <w:trHeight w:val="945"/>
        </w:trPr>
        <w:tc>
          <w:tcPr>
            <w:tcW w:w="2197" w:type="dxa"/>
            <w:shd w:val="clear" w:color="auto" w:fill="auto"/>
          </w:tcPr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HRACÍ DOBA </w:t>
            </w:r>
          </w:p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A ORIENTAČNÍ</w:t>
            </w:r>
          </w:p>
          <w:p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Hrací dobu a časový program určuje vrchní rozhodčí turnaje po dohodě s ředitelem Okruhu.   </w:t>
            </w:r>
          </w:p>
        </w:tc>
      </w:tr>
    </w:tbl>
    <w:p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p w:rsidR="00CC2330" w:rsidRPr="004A5233" w:rsidRDefault="002C70A7">
      <w:pPr>
        <w:pStyle w:val="NormalnormalT"/>
        <w:jc w:val="left"/>
        <w:rPr>
          <w:rFonts w:ascii="Tahoma" w:hAnsi="Tahoma" w:cs="Tahoma"/>
          <w:sz w:val="18"/>
          <w:szCs w:val="18"/>
        </w:rPr>
      </w:pPr>
      <w:r w:rsidRPr="004A5233">
        <w:rPr>
          <w:rFonts w:ascii="Tahoma" w:eastAsia="Tahoma" w:hAnsi="Tahoma" w:cs="Tahoma"/>
          <w:sz w:val="18"/>
          <w:szCs w:val="18"/>
        </w:rPr>
        <w:t xml:space="preserve">  </w:t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</w:p>
    <w:p w:rsidR="00CC2330" w:rsidRPr="004A5233" w:rsidRDefault="00CC2330">
      <w:pPr>
        <w:pStyle w:val="NormalnormalT"/>
        <w:jc w:val="left"/>
        <w:rPr>
          <w:rFonts w:ascii="Tahoma" w:hAnsi="Tahoma" w:cs="Tahoma"/>
          <w:sz w:val="18"/>
          <w:szCs w:val="18"/>
        </w:rPr>
      </w:pPr>
    </w:p>
    <w:p w:rsidR="00CC2330" w:rsidRPr="004A5233" w:rsidRDefault="00CC2330">
      <w:pPr>
        <w:pStyle w:val="NormalnormalT"/>
        <w:jc w:val="left"/>
        <w:rPr>
          <w:rFonts w:ascii="Tahoma" w:hAnsi="Tahoma" w:cs="Tahoma"/>
          <w:sz w:val="18"/>
          <w:szCs w:val="18"/>
        </w:rPr>
      </w:pPr>
    </w:p>
    <w:p w:rsidR="00CC2330" w:rsidRPr="004A5233" w:rsidRDefault="00BD33DB" w:rsidP="00BD33DB">
      <w:pPr>
        <w:pStyle w:val="NormalnormalT"/>
        <w:jc w:val="left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="002C70A7" w:rsidRPr="004A5233">
        <w:rPr>
          <w:rFonts w:ascii="Tahoma" w:hAnsi="Tahoma" w:cs="Tahoma"/>
          <w:sz w:val="18"/>
          <w:szCs w:val="18"/>
        </w:rPr>
        <w:t>Mgr. Jan Macharáček                                Jiří Hanák</w:t>
      </w:r>
    </w:p>
    <w:p w:rsidR="00CC2330" w:rsidRPr="004A5233" w:rsidRDefault="002C70A7">
      <w:pPr>
        <w:pStyle w:val="NormalnormalT"/>
        <w:ind w:left="1390" w:firstLine="278"/>
        <w:jc w:val="left"/>
        <w:rPr>
          <w:rFonts w:ascii="Tahoma" w:hAnsi="Tahoma" w:cs="Tahoma"/>
          <w:sz w:val="18"/>
          <w:szCs w:val="18"/>
        </w:rPr>
      </w:pPr>
      <w:r w:rsidRPr="004A5233">
        <w:rPr>
          <w:rFonts w:ascii="Tahoma" w:eastAsia="Tahoma" w:hAnsi="Tahoma" w:cs="Tahoma"/>
          <w:sz w:val="18"/>
          <w:szCs w:val="18"/>
        </w:rPr>
        <w:t xml:space="preserve"> </w:t>
      </w:r>
      <w:r w:rsidRPr="004A5233">
        <w:rPr>
          <w:rFonts w:ascii="Tahoma" w:hAnsi="Tahoma" w:cs="Tahoma"/>
          <w:sz w:val="18"/>
          <w:szCs w:val="18"/>
        </w:rPr>
        <w:tab/>
      </w:r>
      <w:r w:rsidR="00BD33DB">
        <w:rPr>
          <w:rFonts w:ascii="Tahoma" w:hAnsi="Tahoma" w:cs="Tahoma"/>
          <w:sz w:val="18"/>
          <w:szCs w:val="18"/>
        </w:rPr>
        <w:t xml:space="preserve">     </w:t>
      </w:r>
      <w:r w:rsidRPr="004A5233">
        <w:rPr>
          <w:rFonts w:ascii="Tahoma" w:hAnsi="Tahoma" w:cs="Tahoma"/>
          <w:sz w:val="18"/>
          <w:szCs w:val="18"/>
        </w:rPr>
        <w:t xml:space="preserve">předseda </w:t>
      </w:r>
      <w:proofErr w:type="spellStart"/>
      <w:r w:rsidRPr="004A5233">
        <w:rPr>
          <w:rFonts w:ascii="Tahoma" w:hAnsi="Tahoma" w:cs="Tahoma"/>
          <w:sz w:val="18"/>
          <w:szCs w:val="18"/>
        </w:rPr>
        <w:t>JmTS</w:t>
      </w:r>
      <w:proofErr w:type="spellEnd"/>
      <w:r w:rsidRPr="004A5233">
        <w:rPr>
          <w:rFonts w:ascii="Tahoma" w:hAnsi="Tahoma" w:cs="Tahoma"/>
          <w:sz w:val="18"/>
          <w:szCs w:val="18"/>
        </w:rPr>
        <w:t xml:space="preserve">                           vedoucí kanceláře </w:t>
      </w:r>
      <w:proofErr w:type="spellStart"/>
      <w:r w:rsidRPr="004A5233">
        <w:rPr>
          <w:rFonts w:ascii="Tahoma" w:hAnsi="Tahoma" w:cs="Tahoma"/>
          <w:sz w:val="18"/>
          <w:szCs w:val="18"/>
        </w:rPr>
        <w:t>JmTS</w:t>
      </w:r>
      <w:proofErr w:type="spellEnd"/>
    </w:p>
    <w:p w:rsidR="00CC2330" w:rsidRPr="004A5233" w:rsidRDefault="00CC2330">
      <w:pPr>
        <w:pStyle w:val="NormalnormalT"/>
        <w:ind w:left="1390" w:firstLine="278"/>
        <w:jc w:val="left"/>
        <w:rPr>
          <w:rFonts w:ascii="Tahoma" w:hAnsi="Tahoma" w:cs="Tahoma"/>
          <w:sz w:val="18"/>
          <w:szCs w:val="18"/>
        </w:rPr>
      </w:pPr>
    </w:p>
    <w:p w:rsidR="00BD33DB" w:rsidRDefault="00BD33DB">
      <w:pPr>
        <w:rPr>
          <w:rFonts w:ascii="Tahoma" w:hAnsi="Tahoma" w:cs="Tahoma"/>
          <w:sz w:val="18"/>
          <w:szCs w:val="18"/>
        </w:rPr>
      </w:pPr>
    </w:p>
    <w:p w:rsidR="00CC2330" w:rsidRPr="00BD33DB" w:rsidRDefault="002C70A7" w:rsidP="00BD33DB">
      <w:pPr>
        <w:jc w:val="center"/>
        <w:rPr>
          <w:b/>
          <w:color w:val="020109"/>
        </w:rPr>
      </w:pPr>
      <w:r w:rsidRPr="00BD33DB">
        <w:rPr>
          <w:rFonts w:ascii="Tahoma" w:hAnsi="Tahoma" w:cs="Tahoma"/>
          <w:b/>
          <w:color w:val="020109"/>
          <w:sz w:val="18"/>
          <w:szCs w:val="18"/>
        </w:rPr>
        <w:t>Nad akcí převzal záštitu hejtman Jihomoravského kraje JUDr. Bohumi</w:t>
      </w:r>
      <w:r w:rsidRPr="00BD33DB">
        <w:rPr>
          <w:rFonts w:ascii="Tahoma" w:hAnsi="Tahoma" w:cs="Tahoma"/>
          <w:b/>
          <w:color w:val="020109"/>
        </w:rPr>
        <w:t>l ŠIMEK</w:t>
      </w:r>
      <w:bookmarkStart w:id="3" w:name="_GoBack1"/>
      <w:bookmarkEnd w:id="3"/>
    </w:p>
    <w:sectPr w:rsidR="00CC2330" w:rsidRPr="00BD33DB">
      <w:headerReference w:type="default" r:id="rId11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118" w:rsidRDefault="00976118">
      <w:r>
        <w:separator/>
      </w:r>
    </w:p>
  </w:endnote>
  <w:endnote w:type="continuationSeparator" w:id="0">
    <w:p w:rsidR="00976118" w:rsidRDefault="0097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118" w:rsidRDefault="00976118">
      <w:r>
        <w:separator/>
      </w:r>
    </w:p>
  </w:footnote>
  <w:footnote w:type="continuationSeparator" w:id="0">
    <w:p w:rsidR="00976118" w:rsidRDefault="0097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30" w:rsidRDefault="00CC2330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14A99"/>
    <w:multiLevelType w:val="multilevel"/>
    <w:tmpl w:val="1F066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0C335B"/>
    <w:multiLevelType w:val="multilevel"/>
    <w:tmpl w:val="B99E9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330"/>
    <w:rsid w:val="002C70A7"/>
    <w:rsid w:val="004A5233"/>
    <w:rsid w:val="00976118"/>
    <w:rsid w:val="00BC1B9C"/>
    <w:rsid w:val="00BD33DB"/>
    <w:rsid w:val="00C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23D4"/>
  <w15:docId w15:val="{C12F819A-BBD9-4F9C-A311-0F81A247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Jan Macharáček</cp:lastModifiedBy>
  <cp:revision>46</cp:revision>
  <cp:lastPrinted>2016-05-05T06:59:00Z</cp:lastPrinted>
  <dcterms:created xsi:type="dcterms:W3CDTF">2016-11-10T19:05:00Z</dcterms:created>
  <dcterms:modified xsi:type="dcterms:W3CDTF">2019-02-19T10:20:00Z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